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DF" w:rsidRPr="008654DF" w:rsidRDefault="008654DF" w:rsidP="008654DF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kern w:val="36"/>
          <w:lang w:eastAsia="ru-RU"/>
        </w:rPr>
      </w:pPr>
      <w:r w:rsidRPr="008654DF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Разъяснения практики применения статьи 12 Федерального закона </w:t>
      </w:r>
      <w:r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          </w:t>
      </w:r>
      <w:bookmarkStart w:id="0" w:name="_GoBack"/>
      <w:bookmarkEnd w:id="0"/>
      <w:r w:rsidRPr="008654DF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654DF">
        <w:rPr>
          <w:rFonts w:ascii="inherit" w:eastAsia="Times New Roman" w:hAnsi="inherit" w:cs="Helvetica"/>
          <w:b/>
          <w:bCs/>
          <w:kern w:val="36"/>
          <w:lang w:eastAsia="ru-RU"/>
        </w:rPr>
        <w:t>интересов</w:t>
      </w:r>
      <w:proofErr w:type="gramEnd"/>
      <w:r w:rsidRPr="008654DF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8654DF" w:rsidRDefault="008654DF" w:rsidP="008654DF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(</w:t>
      </w: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654DF" w:rsidRPr="008654DF" w:rsidRDefault="008654DF" w:rsidP="008654DF">
      <w:pPr>
        <w:spacing w:after="150" w:line="240" w:lineRule="auto"/>
        <w:ind w:firstLine="360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</w:t>
      </w: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lastRenderedPageBreak/>
        <w:t>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654DF" w:rsidRPr="008654DF" w:rsidRDefault="008654DF" w:rsidP="0086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654DF" w:rsidRPr="008654DF" w:rsidRDefault="008654DF" w:rsidP="0086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654DF" w:rsidRPr="008654DF" w:rsidRDefault="008654DF" w:rsidP="008654DF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решении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</w:t>
      </w: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lastRenderedPageBreak/>
        <w:t>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8654DF" w:rsidRPr="008654DF" w:rsidRDefault="008654DF" w:rsidP="008654DF">
      <w:pPr>
        <w:spacing w:after="150" w:line="240" w:lineRule="auto"/>
        <w:ind w:firstLine="708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 организацией, либо готовить проекты таких решений.</w:t>
      </w:r>
    </w:p>
    <w:p w:rsidR="008654DF" w:rsidRPr="008654DF" w:rsidRDefault="008654DF" w:rsidP="008654DF">
      <w:pPr>
        <w:spacing w:after="150" w:line="240" w:lineRule="auto"/>
        <w:ind w:firstLine="360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8654DF" w:rsidRPr="008654DF" w:rsidRDefault="008654DF" w:rsidP="00865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8654DF" w:rsidRPr="008654DF" w:rsidRDefault="008654DF" w:rsidP="00865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654DF" w:rsidRPr="008654DF" w:rsidRDefault="008654DF" w:rsidP="00865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8654DF" w:rsidRPr="008654DF" w:rsidRDefault="008654DF" w:rsidP="008654DF">
      <w:pPr>
        <w:spacing w:after="150" w:line="240" w:lineRule="auto"/>
        <w:ind w:firstLine="360"/>
        <w:rPr>
          <w:rFonts w:ascii="SegoeUI" w:eastAsia="Times New Roman" w:hAnsi="SegoeUI" w:cs="Helvetica"/>
          <w:sz w:val="24"/>
          <w:szCs w:val="24"/>
          <w:lang w:eastAsia="ru-RU"/>
        </w:rPr>
      </w:pPr>
      <w:proofErr w:type="gramStart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</w:t>
      </w:r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lastRenderedPageBreak/>
        <w:t>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8654DF">
        <w:rPr>
          <w:rFonts w:ascii="SegoeUI" w:eastAsia="Times New Roman" w:hAnsi="SegoeUI" w:cs="Helvetica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A2AC2" w:rsidRPr="008654DF" w:rsidRDefault="00AA2AC2"/>
    <w:sectPr w:rsidR="00AA2AC2" w:rsidRPr="008654DF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C4D"/>
    <w:multiLevelType w:val="multilevel"/>
    <w:tmpl w:val="B38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560ED"/>
    <w:multiLevelType w:val="multilevel"/>
    <w:tmpl w:val="6FF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DF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654DF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 xsi:nil="true"/>
    <FullName xmlns="41ea915e-28c8-48c0-b967-60a96ae1abcf">Разъяснения практики применения статьи 12 ФЗ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</FullName>
    <Past xmlns="41ea915e-28c8-48c0-b967-60a96ae1abcf">false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F67F7-65A0-4930-BC36-5331959B9D3C}"/>
</file>

<file path=customXml/itemProps2.xml><?xml version="1.0" encoding="utf-8"?>
<ds:datastoreItem xmlns:ds="http://schemas.openxmlformats.org/officeDocument/2006/customXml" ds:itemID="{DB3E74D7-8A6C-4A7B-8D21-BF5DA6DEA0D2}"/>
</file>

<file path=customXml/itemProps3.xml><?xml version="1.0" encoding="utf-8"?>
<ds:datastoreItem xmlns:ds="http://schemas.openxmlformats.org/officeDocument/2006/customXml" ds:itemID="{9A57A9A4-B019-40BC-8AE0-53F582050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практики применения статьи 12 Федерального закона от 25 декабря 2008 г. № 273-ФЗ «О противодействии коррупции»</dc:title>
  <dc:creator>Веселова Татьяна Владимировна</dc:creator>
  <cp:lastModifiedBy>Веселова Татьяна Владимировна</cp:lastModifiedBy>
  <cp:revision>1</cp:revision>
  <dcterms:created xsi:type="dcterms:W3CDTF">2017-12-18T11:54:00Z</dcterms:created>
  <dcterms:modified xsi:type="dcterms:W3CDTF">2017-12-18T11:58:00Z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