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66" w:rsidRDefault="0063217C" w:rsidP="00FC1E66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C1E66" w:rsidRDefault="0063217C" w:rsidP="00FC1E66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63217C" w:rsidRDefault="0063217C" w:rsidP="00FC1E66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</w:t>
      </w:r>
    </w:p>
    <w:tbl>
      <w:tblPr>
        <w:tblW w:w="3510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F575D" w:rsidTr="00FC1E66">
        <w:tc>
          <w:tcPr>
            <w:tcW w:w="486" w:type="dxa"/>
            <w:vAlign w:val="bottom"/>
            <w:hideMark/>
          </w:tcPr>
          <w:p w:rsidR="005F575D" w:rsidRDefault="005F575D">
            <w:pPr>
              <w:pStyle w:val="a3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575D" w:rsidRDefault="005F575D">
            <w:pPr>
              <w:pStyle w:val="a3"/>
              <w:jc w:val="center"/>
            </w:pPr>
            <w: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5F575D" w:rsidRDefault="005F575D">
            <w:pPr>
              <w:pStyle w:val="a3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575D" w:rsidRDefault="005F575D">
            <w:pPr>
              <w:pStyle w:val="a3"/>
              <w:jc w:val="center"/>
            </w:pPr>
            <w:r>
              <w:t>5/83</w:t>
            </w:r>
          </w:p>
        </w:tc>
      </w:tr>
    </w:tbl>
    <w:p w:rsidR="0063217C" w:rsidRDefault="0063217C" w:rsidP="0063217C">
      <w:pPr>
        <w:autoSpaceDE w:val="0"/>
        <w:autoSpaceDN w:val="0"/>
        <w:adjustRightInd w:val="0"/>
        <w:ind w:left="4820"/>
        <w:jc w:val="right"/>
        <w:outlineLvl w:val="0"/>
        <w:rPr>
          <w:sz w:val="28"/>
          <w:szCs w:val="28"/>
        </w:rPr>
      </w:pPr>
    </w:p>
    <w:p w:rsidR="0063217C" w:rsidRDefault="0063217C" w:rsidP="00FC1E66">
      <w:pPr>
        <w:widowControl w:val="0"/>
        <w:ind w:left="5103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  <w:lang w:eastAsia="en-US"/>
        </w:rPr>
        <w:t>Приложение 3</w:t>
      </w:r>
    </w:p>
    <w:p w:rsidR="0063217C" w:rsidRDefault="0063217C" w:rsidP="00FC1E66">
      <w:pPr>
        <w:widowControl w:val="0"/>
        <w:ind w:left="5103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к Положению о муниципальном</w:t>
      </w:r>
      <w:r w:rsidR="00FC1E6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земельном контроле в границах</w:t>
      </w:r>
      <w:r w:rsidR="00FC1E6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городского округа</w:t>
      </w:r>
      <w:r w:rsidR="00FC1E6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город-герой Волгоград,</w:t>
      </w:r>
      <w:r w:rsidR="00FC1E6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утвержденному решением</w:t>
      </w:r>
      <w:r w:rsidR="00FC1E6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Волгоградской городской Думы</w:t>
      </w:r>
    </w:p>
    <w:tbl>
      <w:tblPr>
        <w:tblW w:w="3510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F575D" w:rsidTr="00FC1E66">
        <w:tc>
          <w:tcPr>
            <w:tcW w:w="486" w:type="dxa"/>
            <w:vAlign w:val="bottom"/>
            <w:hideMark/>
          </w:tcPr>
          <w:p w:rsidR="005F575D" w:rsidRDefault="005F575D" w:rsidP="007108E2">
            <w:pPr>
              <w:pStyle w:val="a3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575D" w:rsidRDefault="005F575D" w:rsidP="005F575D">
            <w:pPr>
              <w:pStyle w:val="a3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5F575D" w:rsidRDefault="005F575D" w:rsidP="007108E2">
            <w:pPr>
              <w:pStyle w:val="a3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575D" w:rsidRDefault="005F575D" w:rsidP="007108E2">
            <w:pPr>
              <w:pStyle w:val="a3"/>
              <w:jc w:val="center"/>
            </w:pPr>
            <w:r>
              <w:t>51/807</w:t>
            </w:r>
          </w:p>
        </w:tc>
      </w:tr>
    </w:tbl>
    <w:p w:rsidR="005F575D" w:rsidRDefault="005F575D" w:rsidP="00FC1E66">
      <w:pPr>
        <w:widowControl w:val="0"/>
        <w:rPr>
          <w:color w:val="000000"/>
          <w:sz w:val="28"/>
          <w:szCs w:val="28"/>
          <w:lang w:eastAsia="en-US"/>
        </w:rPr>
      </w:pPr>
    </w:p>
    <w:p w:rsidR="0063217C" w:rsidRDefault="0063217C" w:rsidP="0063217C">
      <w:pPr>
        <w:widowControl w:val="0"/>
        <w:jc w:val="both"/>
        <w:rPr>
          <w:color w:val="000000"/>
          <w:sz w:val="28"/>
          <w:szCs w:val="28"/>
          <w:lang w:eastAsia="en-US"/>
        </w:rPr>
      </w:pPr>
    </w:p>
    <w:p w:rsidR="00FC1E66" w:rsidRDefault="00FC1E66" w:rsidP="0063217C">
      <w:pPr>
        <w:widowControl w:val="0"/>
        <w:jc w:val="both"/>
        <w:rPr>
          <w:color w:val="000000"/>
          <w:sz w:val="28"/>
          <w:szCs w:val="28"/>
          <w:lang w:eastAsia="en-US"/>
        </w:rPr>
      </w:pPr>
    </w:p>
    <w:p w:rsidR="00FC1E66" w:rsidRDefault="0063217C" w:rsidP="0063217C">
      <w:pPr>
        <w:widowControl w:val="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Перечень </w:t>
      </w:r>
    </w:p>
    <w:p w:rsidR="00FC1E66" w:rsidRDefault="0063217C" w:rsidP="0063217C">
      <w:pPr>
        <w:widowControl w:val="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индикаторов риска</w:t>
      </w:r>
      <w:r w:rsidR="00FC1E6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нарушения обязательных требований земельного законодательства в отношении объектов земельных отношений, </w:t>
      </w:r>
    </w:p>
    <w:p w:rsidR="0063217C" w:rsidRDefault="0063217C" w:rsidP="0063217C">
      <w:pPr>
        <w:widowControl w:val="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за нарушение которых законодательством предусмотрена административная ответственность, проверяемых в рамках осуществления муниципального земельного контроля в границах городского округа город-герой Волгоград</w:t>
      </w:r>
    </w:p>
    <w:p w:rsidR="0063217C" w:rsidRDefault="0063217C" w:rsidP="0063217C">
      <w:pPr>
        <w:widowControl w:val="0"/>
        <w:jc w:val="both"/>
        <w:rPr>
          <w:color w:val="000000"/>
          <w:sz w:val="28"/>
          <w:szCs w:val="28"/>
          <w:lang w:eastAsia="en-US"/>
        </w:rPr>
      </w:pPr>
    </w:p>
    <w:p w:rsidR="0063217C" w:rsidRDefault="0063217C" w:rsidP="0063217C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информации, о наличии признаков несоблюдения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(далее – обязательные требования).</w:t>
      </w:r>
    </w:p>
    <w:p w:rsidR="0063217C" w:rsidRDefault="0063217C" w:rsidP="0063217C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 Поступление в Контрольный орган в течение шестидесяти дней двух 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наличии признаков несоблюдения контролируемым лицом обязательных требований,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63217C" w:rsidRDefault="0063217C" w:rsidP="0063217C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 Поступление в Контрольный орган в течение тридцати дней двух 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предполагаемом несоответствии площади используемого контролируемым лицом земельного участка площади земельного участка, сведения о которой содержатся в Едином </w:t>
      </w:r>
      <w:r>
        <w:rPr>
          <w:color w:val="000000"/>
          <w:sz w:val="28"/>
          <w:szCs w:val="28"/>
          <w:lang w:eastAsia="en-US"/>
        </w:rPr>
        <w:lastRenderedPageBreak/>
        <w:t>государственном реестре недвижимости, правоустанавливающих документах на земельный участок.</w:t>
      </w:r>
    </w:p>
    <w:p w:rsidR="0063217C" w:rsidRDefault="0063217C" w:rsidP="0063217C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 Поступление в Контрольный орган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невозможности использ</w:t>
      </w:r>
      <w:bookmarkStart w:id="0" w:name="_GoBack"/>
      <w:bookmarkEnd w:id="0"/>
      <w:r>
        <w:rPr>
          <w:color w:val="000000"/>
          <w:sz w:val="28"/>
          <w:szCs w:val="28"/>
          <w:lang w:eastAsia="en-US"/>
        </w:rPr>
        <w:t>ования в соответствии с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</w:p>
    <w:p w:rsidR="0063217C" w:rsidRDefault="0063217C" w:rsidP="0063217C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проведения инженерных изысканий;</w:t>
      </w:r>
    </w:p>
    <w:p w:rsidR="0063217C" w:rsidRDefault="0063217C" w:rsidP="0063217C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капитального или текущего ремонта линейного объекта;</w:t>
      </w:r>
    </w:p>
    <w:p w:rsidR="0063217C" w:rsidRDefault="0063217C" w:rsidP="0063217C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63217C" w:rsidRDefault="0063217C" w:rsidP="0063217C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осуществления геологического изучения недр;</w:t>
      </w:r>
    </w:p>
    <w:p w:rsidR="0063217C" w:rsidRDefault="0063217C" w:rsidP="0063217C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возведения некапитальных строений, сооружений, предназначенных для осуществления товарной </w:t>
      </w:r>
      <w:proofErr w:type="spellStart"/>
      <w:r>
        <w:rPr>
          <w:color w:val="000000"/>
          <w:sz w:val="28"/>
          <w:szCs w:val="28"/>
          <w:lang w:eastAsia="en-US"/>
        </w:rPr>
        <w:t>аквакультуры</w:t>
      </w:r>
      <w:proofErr w:type="spellEnd"/>
      <w:r>
        <w:rPr>
          <w:color w:val="000000"/>
          <w:sz w:val="28"/>
          <w:szCs w:val="28"/>
          <w:lang w:eastAsia="en-US"/>
        </w:rPr>
        <w:t xml:space="preserve"> (товарного рыбоводства);</w:t>
      </w:r>
    </w:p>
    <w:p w:rsidR="0063217C" w:rsidRDefault="0063217C" w:rsidP="0063217C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3217C" w:rsidRDefault="0063217C" w:rsidP="0063217C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5.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недвижимости, на величину, превышающую значения точности (средней </w:t>
      </w:r>
      <w:proofErr w:type="spellStart"/>
      <w:r>
        <w:rPr>
          <w:color w:val="000000"/>
          <w:sz w:val="28"/>
          <w:szCs w:val="28"/>
          <w:lang w:eastAsia="en-US"/>
        </w:rPr>
        <w:t>квадратической</w:t>
      </w:r>
      <w:proofErr w:type="spellEnd"/>
      <w:r>
        <w:rPr>
          <w:color w:val="000000"/>
          <w:sz w:val="28"/>
          <w:szCs w:val="28"/>
          <w:lang w:eastAsia="en-US"/>
        </w:rPr>
        <w:t xml:space="preserve"> погрешности) определения координат характерных точек границ земельных участков, установленное соответствующим правовым актом федерального органа исполнительной власти, уполномоченного на осуществление функций по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</w:p>
    <w:p w:rsidR="0063217C" w:rsidRDefault="0063217C" w:rsidP="0063217C">
      <w:pPr>
        <w:widowControl w:val="0"/>
        <w:jc w:val="both"/>
        <w:rPr>
          <w:color w:val="000000"/>
          <w:sz w:val="28"/>
          <w:szCs w:val="28"/>
          <w:lang w:eastAsia="en-US"/>
        </w:rPr>
      </w:pPr>
    </w:p>
    <w:p w:rsidR="00FC1E66" w:rsidRDefault="00FC1E66" w:rsidP="0063217C">
      <w:pPr>
        <w:widowControl w:val="0"/>
        <w:jc w:val="both"/>
        <w:rPr>
          <w:color w:val="000000"/>
          <w:sz w:val="28"/>
          <w:szCs w:val="28"/>
          <w:lang w:eastAsia="en-US"/>
        </w:rPr>
      </w:pPr>
    </w:p>
    <w:p w:rsidR="0063217C" w:rsidRDefault="0063217C" w:rsidP="00FC1E66">
      <w:pPr>
        <w:widowControl w:val="0"/>
        <w:ind w:left="4536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Департамент муниципального имущества администрации Волгограда»</w:t>
      </w:r>
    </w:p>
    <w:p w:rsidR="0063217C" w:rsidRDefault="0063217C" w:rsidP="0063217C">
      <w:pPr>
        <w:widowControl w:val="0"/>
        <w:jc w:val="both"/>
        <w:rPr>
          <w:color w:val="000000"/>
          <w:sz w:val="28"/>
          <w:szCs w:val="28"/>
          <w:lang w:eastAsia="en-US"/>
        </w:rPr>
      </w:pPr>
    </w:p>
    <w:p w:rsidR="0063217C" w:rsidRDefault="0063217C" w:rsidP="0063217C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12"/>
        <w:gridCol w:w="3826"/>
      </w:tblGrid>
      <w:tr w:rsidR="0063217C" w:rsidTr="00FC1E66">
        <w:tc>
          <w:tcPr>
            <w:tcW w:w="3015" w:type="pct"/>
          </w:tcPr>
          <w:p w:rsidR="0063217C" w:rsidRDefault="0063217C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  <w:p w:rsidR="0063217C" w:rsidRDefault="0063217C">
            <w:pPr>
              <w:rPr>
                <w:sz w:val="28"/>
              </w:rPr>
            </w:pPr>
            <w:r>
              <w:rPr>
                <w:sz w:val="28"/>
              </w:rPr>
              <w:t xml:space="preserve">Волгоградской городской Думы </w:t>
            </w:r>
          </w:p>
          <w:p w:rsidR="0063217C" w:rsidRDefault="0063217C">
            <w:pPr>
              <w:rPr>
                <w:sz w:val="28"/>
              </w:rPr>
            </w:pPr>
          </w:p>
          <w:p w:rsidR="0063217C" w:rsidRDefault="0063217C">
            <w:pPr>
              <w:keepNext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r w:rsidR="00FC1E66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В.В.Колесников</w:t>
            </w:r>
            <w:proofErr w:type="spellEnd"/>
          </w:p>
        </w:tc>
        <w:tc>
          <w:tcPr>
            <w:tcW w:w="1985" w:type="pct"/>
          </w:tcPr>
          <w:p w:rsidR="0063217C" w:rsidRDefault="0063217C">
            <w:pPr>
              <w:ind w:left="34"/>
              <w:rPr>
                <w:sz w:val="28"/>
              </w:rPr>
            </w:pPr>
            <w:r>
              <w:rPr>
                <w:sz w:val="28"/>
              </w:rPr>
              <w:t>Глава Волгограда</w:t>
            </w:r>
          </w:p>
          <w:p w:rsidR="0063217C" w:rsidRDefault="0063217C">
            <w:pPr>
              <w:ind w:left="34"/>
              <w:rPr>
                <w:sz w:val="28"/>
              </w:rPr>
            </w:pPr>
          </w:p>
          <w:p w:rsidR="00FC1E66" w:rsidRDefault="00FC1E66">
            <w:pPr>
              <w:ind w:left="34"/>
              <w:rPr>
                <w:sz w:val="28"/>
              </w:rPr>
            </w:pPr>
          </w:p>
          <w:p w:rsidR="0063217C" w:rsidRDefault="0063217C" w:rsidP="00FC1E66">
            <w:pPr>
              <w:ind w:left="34" w:right="-109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В.В.Марченко</w:t>
            </w:r>
            <w:proofErr w:type="spellEnd"/>
          </w:p>
        </w:tc>
      </w:tr>
    </w:tbl>
    <w:p w:rsidR="0063217C" w:rsidRPr="00FC1E66" w:rsidRDefault="0063217C" w:rsidP="00474FC5">
      <w:pPr>
        <w:widowControl w:val="0"/>
        <w:jc w:val="both"/>
        <w:rPr>
          <w:sz w:val="2"/>
          <w:szCs w:val="22"/>
        </w:rPr>
      </w:pPr>
    </w:p>
    <w:sectPr w:rsidR="0063217C" w:rsidRPr="00FC1E66" w:rsidSect="007C189B">
      <w:headerReference w:type="default" r:id="rId6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89B" w:rsidRDefault="007C189B" w:rsidP="007C189B">
      <w:r>
        <w:separator/>
      </w:r>
    </w:p>
  </w:endnote>
  <w:endnote w:type="continuationSeparator" w:id="0">
    <w:p w:rsidR="007C189B" w:rsidRDefault="007C189B" w:rsidP="007C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89B" w:rsidRDefault="007C189B" w:rsidP="007C189B">
      <w:r>
        <w:separator/>
      </w:r>
    </w:p>
  </w:footnote>
  <w:footnote w:type="continuationSeparator" w:id="0">
    <w:p w:rsidR="007C189B" w:rsidRDefault="007C189B" w:rsidP="007C1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0692528"/>
      <w:docPartObj>
        <w:docPartGallery w:val="Page Numbers (Top of Page)"/>
        <w:docPartUnique/>
      </w:docPartObj>
    </w:sdtPr>
    <w:sdtContent>
      <w:p w:rsidR="007C189B" w:rsidRDefault="007C189B" w:rsidP="007C189B">
        <w:pPr>
          <w:pStyle w:val="a5"/>
          <w:jc w:val="center"/>
        </w:pPr>
        <w:r>
          <w:t xml:space="preserve">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                                                 Продолжение приложения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6B"/>
    <w:rsid w:val="0015086B"/>
    <w:rsid w:val="001D2FD4"/>
    <w:rsid w:val="00474FC5"/>
    <w:rsid w:val="005F575D"/>
    <w:rsid w:val="0063217C"/>
    <w:rsid w:val="007C189B"/>
    <w:rsid w:val="00D761E5"/>
    <w:rsid w:val="00FC1E66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46AE1-C390-47DF-8010-9525DB45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F575D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5F5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C18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C18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8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76024DBA-D548-4047-A8DF-3EDEED428D3C}"/>
</file>

<file path=customXml/itemProps2.xml><?xml version="1.0" encoding="utf-8"?>
<ds:datastoreItem xmlns:ds="http://schemas.openxmlformats.org/officeDocument/2006/customXml" ds:itemID="{FF512A56-231E-4929-93AD-195DA8CB7DFA}"/>
</file>

<file path=customXml/itemProps3.xml><?xml version="1.0" encoding="utf-8"?>
<ds:datastoreItem xmlns:ds="http://schemas.openxmlformats.org/officeDocument/2006/customXml" ds:itemID="{5A8B4E21-FA8F-403A-88F4-5D048F409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8</cp:revision>
  <dcterms:created xsi:type="dcterms:W3CDTF">2023-12-20T10:55:00Z</dcterms:created>
  <dcterms:modified xsi:type="dcterms:W3CDTF">2023-12-20T11:20:00Z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