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33" w:rsidRPr="00115933" w:rsidRDefault="00115933" w:rsidP="00115933">
      <w:pPr>
        <w:pStyle w:val="ConsPlusNormal"/>
        <w:ind w:left="5103"/>
        <w:outlineLvl w:val="1"/>
      </w:pPr>
      <w:r w:rsidRPr="00115933">
        <w:t xml:space="preserve">Приложение 2 </w:t>
      </w:r>
    </w:p>
    <w:p w:rsidR="00115933" w:rsidRPr="00115933" w:rsidRDefault="00115933" w:rsidP="00115933">
      <w:pPr>
        <w:pStyle w:val="ConsPlusNormal"/>
        <w:ind w:left="5103"/>
        <w:jc w:val="both"/>
        <w:rPr>
          <w:color w:val="000000"/>
        </w:rPr>
      </w:pPr>
      <w:bookmarkStart w:id="0" w:name="_Hlk73456542"/>
      <w:r w:rsidRPr="00115933">
        <w:rPr>
          <w:color w:val="000000"/>
        </w:rPr>
        <w:t xml:space="preserve">к Положению о муниципальном контроле в сфере благоустройства в городском округе город-герой Волгоград, утвержденному решением Волгоградской городской Думы 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15933" w:rsidRPr="00115933" w:rsidTr="00525D69">
        <w:tc>
          <w:tcPr>
            <w:tcW w:w="486" w:type="dxa"/>
            <w:vAlign w:val="bottom"/>
            <w:hideMark/>
          </w:tcPr>
          <w:bookmarkEnd w:id="0"/>
          <w:p w:rsidR="00115933" w:rsidRPr="00115933" w:rsidRDefault="00115933" w:rsidP="00115933">
            <w:pPr>
              <w:pStyle w:val="a8"/>
              <w:jc w:val="center"/>
              <w:rPr>
                <w:szCs w:val="28"/>
              </w:rPr>
            </w:pPr>
            <w:r w:rsidRPr="00115933">
              <w:rPr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933" w:rsidRPr="00115933" w:rsidRDefault="00B71169" w:rsidP="00115933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115933" w:rsidRPr="00115933" w:rsidRDefault="00115933" w:rsidP="00115933">
            <w:pPr>
              <w:pStyle w:val="a8"/>
              <w:jc w:val="center"/>
              <w:rPr>
                <w:szCs w:val="28"/>
              </w:rPr>
            </w:pPr>
            <w:r w:rsidRPr="00115933">
              <w:rPr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933" w:rsidRPr="00115933" w:rsidRDefault="00B71169" w:rsidP="00115933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51/806</w:t>
            </w:r>
          </w:p>
        </w:tc>
      </w:tr>
    </w:tbl>
    <w:p w:rsidR="000C08DB" w:rsidRPr="00115933" w:rsidRDefault="000C08DB" w:rsidP="00115933">
      <w:pPr>
        <w:pStyle w:val="ConsPlusNormal"/>
        <w:rPr>
          <w:color w:val="000000"/>
        </w:rPr>
      </w:pPr>
    </w:p>
    <w:p w:rsidR="000C08DB" w:rsidRDefault="000C08DB" w:rsidP="00115933">
      <w:pPr>
        <w:pStyle w:val="ConsPlusNormal"/>
        <w:rPr>
          <w:color w:val="000000"/>
        </w:rPr>
      </w:pPr>
    </w:p>
    <w:p w:rsidR="004400A4" w:rsidRPr="00115933" w:rsidRDefault="004400A4" w:rsidP="00115933">
      <w:pPr>
        <w:pStyle w:val="ConsPlusNormal"/>
        <w:rPr>
          <w:color w:val="000000"/>
        </w:rPr>
      </w:pPr>
    </w:p>
    <w:p w:rsidR="00533754" w:rsidRPr="00115933" w:rsidRDefault="00533754" w:rsidP="00115933">
      <w:pPr>
        <w:pStyle w:val="ConsPlusNormal"/>
        <w:jc w:val="center"/>
        <w:rPr>
          <w:color w:val="000000"/>
        </w:rPr>
      </w:pPr>
      <w:r w:rsidRPr="00115933">
        <w:rPr>
          <w:color w:val="000000"/>
        </w:rPr>
        <w:t xml:space="preserve">Ключевые показатели муниципального контроля и их целевые значения, индикативные показатели муниципального контроля </w:t>
      </w:r>
    </w:p>
    <w:p w:rsidR="00533754" w:rsidRPr="00115933" w:rsidRDefault="00533754" w:rsidP="00115933">
      <w:pPr>
        <w:pStyle w:val="ConsPlusNormal"/>
        <w:ind w:firstLine="540"/>
        <w:jc w:val="both"/>
        <w:rPr>
          <w:color w:val="000000"/>
        </w:rPr>
      </w:pPr>
    </w:p>
    <w:p w:rsidR="00533754" w:rsidRPr="00115933" w:rsidRDefault="00533754" w:rsidP="00115933">
      <w:pPr>
        <w:pStyle w:val="ConsPlusNormal"/>
        <w:ind w:firstLine="709"/>
        <w:jc w:val="both"/>
        <w:rPr>
          <w:color w:val="000000"/>
        </w:rPr>
      </w:pPr>
      <w:r w:rsidRPr="00115933">
        <w:rPr>
          <w:color w:val="000000"/>
        </w:rPr>
        <w:t>1. Ключевые показатели муниципального контроля и их целевые значения:</w:t>
      </w:r>
    </w:p>
    <w:p w:rsidR="00533754" w:rsidRPr="00115933" w:rsidRDefault="00B71169" w:rsidP="0011593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533754" w:rsidRPr="00115933">
        <w:rPr>
          <w:color w:val="000000"/>
        </w:rPr>
        <w:t xml:space="preserve">доля устраненных нарушений из числа выявленных нарушений обязательных требований </w:t>
      </w:r>
      <w:r w:rsidR="000C08DB" w:rsidRPr="00115933">
        <w:rPr>
          <w:color w:val="000000"/>
        </w:rPr>
        <w:t>–</w:t>
      </w:r>
      <w:r w:rsidR="00533754" w:rsidRPr="00115933">
        <w:rPr>
          <w:color w:val="000000"/>
        </w:rPr>
        <w:t xml:space="preserve"> 70%;</w:t>
      </w:r>
    </w:p>
    <w:p w:rsidR="00533754" w:rsidRPr="00115933" w:rsidRDefault="00B71169" w:rsidP="0011593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533754" w:rsidRPr="00115933">
        <w:rPr>
          <w:color w:val="000000"/>
        </w:rPr>
        <w:t xml:space="preserve">доля обоснованных жалоб на действия (бездействие) </w:t>
      </w:r>
      <w:r w:rsidRPr="00115933">
        <w:rPr>
          <w:color w:val="000000"/>
        </w:rPr>
        <w:t>К</w:t>
      </w:r>
      <w:r w:rsidR="00533754" w:rsidRPr="00115933">
        <w:rPr>
          <w:color w:val="000000"/>
        </w:rPr>
        <w:t>онтрольного орг</w:t>
      </w:r>
      <w:r>
        <w:rPr>
          <w:color w:val="000000"/>
        </w:rPr>
        <w:t>ана и (или) его должностных лиц</w:t>
      </w:r>
      <w:r w:rsidR="00533754" w:rsidRPr="00115933">
        <w:rPr>
          <w:color w:val="000000"/>
        </w:rPr>
        <w:t xml:space="preserve"> при проведении контрольных</w:t>
      </w:r>
      <w:r w:rsidR="004400A4">
        <w:rPr>
          <w:color w:val="000000"/>
        </w:rPr>
        <w:t xml:space="preserve">   </w:t>
      </w:r>
      <w:r w:rsidR="00533754" w:rsidRPr="00115933">
        <w:rPr>
          <w:color w:val="000000"/>
        </w:rPr>
        <w:t xml:space="preserve"> мероприятий </w:t>
      </w:r>
      <w:r w:rsidR="000C08DB" w:rsidRPr="00115933">
        <w:rPr>
          <w:color w:val="000000"/>
        </w:rPr>
        <w:t>–</w:t>
      </w:r>
      <w:r w:rsidR="00533754" w:rsidRPr="00115933">
        <w:rPr>
          <w:color w:val="000000"/>
        </w:rPr>
        <w:t xml:space="preserve"> 0%;</w:t>
      </w:r>
    </w:p>
    <w:p w:rsidR="00533754" w:rsidRPr="00115933" w:rsidRDefault="00B71169" w:rsidP="0011593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533754" w:rsidRPr="00115933">
        <w:rPr>
          <w:color w:val="000000"/>
        </w:rPr>
        <w:t xml:space="preserve">доля отмененных результатов контрольных мероприятий </w:t>
      </w:r>
      <w:r w:rsidR="000C08DB" w:rsidRPr="00115933">
        <w:rPr>
          <w:color w:val="000000"/>
        </w:rPr>
        <w:t>–</w:t>
      </w:r>
      <w:r w:rsidR="00533754" w:rsidRPr="00115933">
        <w:rPr>
          <w:color w:val="000000"/>
        </w:rPr>
        <w:t xml:space="preserve"> 0%;</w:t>
      </w:r>
    </w:p>
    <w:p w:rsidR="00533754" w:rsidRPr="00115933" w:rsidRDefault="00B71169" w:rsidP="0011593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533754" w:rsidRPr="00115933">
        <w:rPr>
          <w:color w:val="00000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 w:rsidR="000C08DB" w:rsidRPr="00B71169">
        <w:t>,</w:t>
      </w:r>
      <w:r w:rsidR="00533754" w:rsidRPr="00115933">
        <w:rPr>
          <w:color w:val="000000"/>
        </w:rPr>
        <w:t xml:space="preserve"> </w:t>
      </w:r>
      <w:r w:rsidR="000C08DB" w:rsidRPr="00115933">
        <w:rPr>
          <w:color w:val="000000"/>
        </w:rPr>
        <w:t>–</w:t>
      </w:r>
      <w:r w:rsidR="00533754" w:rsidRPr="00115933">
        <w:rPr>
          <w:color w:val="000000"/>
        </w:rPr>
        <w:t xml:space="preserve"> 5%;</w:t>
      </w:r>
    </w:p>
    <w:p w:rsidR="00533754" w:rsidRPr="00115933" w:rsidRDefault="00B71169" w:rsidP="0011593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533754" w:rsidRPr="00115933">
        <w:rPr>
          <w:color w:val="000000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8C4130" w:rsidRPr="00115933">
        <w:rPr>
          <w:color w:val="000000"/>
        </w:rPr>
        <w:t>–</w:t>
      </w:r>
      <w:r w:rsidR="00533754" w:rsidRPr="00115933">
        <w:rPr>
          <w:color w:val="000000"/>
        </w:rPr>
        <w:t xml:space="preserve"> 95%;</w:t>
      </w:r>
    </w:p>
    <w:p w:rsidR="00533754" w:rsidRPr="00115933" w:rsidRDefault="00B71169" w:rsidP="0011593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533754" w:rsidRPr="00115933">
        <w:rPr>
          <w:color w:val="000000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</w:t>
      </w:r>
      <w:r>
        <w:rPr>
          <w:color w:val="000000"/>
        </w:rPr>
        <w:t>,</w:t>
      </w:r>
      <w:r w:rsidR="00533754" w:rsidRPr="00115933">
        <w:rPr>
          <w:color w:val="000000"/>
        </w:rPr>
        <w:t xml:space="preserve"> 2.9 Кодекса Российской Федерации об административных правонарушениях</w:t>
      </w:r>
      <w:r w:rsidR="00C76D4A" w:rsidRPr="00B71169">
        <w:t>,</w:t>
      </w:r>
      <w:r w:rsidR="00533754" w:rsidRPr="00115933">
        <w:rPr>
          <w:color w:val="000000"/>
        </w:rPr>
        <w:t xml:space="preserve"> </w:t>
      </w:r>
      <w:r w:rsidR="00C76D4A" w:rsidRPr="00115933">
        <w:rPr>
          <w:color w:val="000000"/>
        </w:rPr>
        <w:t>–</w:t>
      </w:r>
      <w:r w:rsidR="00533754" w:rsidRPr="00115933">
        <w:rPr>
          <w:color w:val="000000"/>
        </w:rPr>
        <w:t xml:space="preserve"> 0%</w:t>
      </w:r>
      <w:r w:rsidR="000B403E" w:rsidRPr="004400A4">
        <w:t>.</w:t>
      </w:r>
    </w:p>
    <w:p w:rsidR="00533754" w:rsidRPr="00115933" w:rsidRDefault="00533754" w:rsidP="00115933">
      <w:pPr>
        <w:ind w:firstLine="709"/>
        <w:jc w:val="both"/>
        <w:rPr>
          <w:color w:val="000000"/>
          <w:sz w:val="28"/>
          <w:szCs w:val="28"/>
        </w:rPr>
      </w:pPr>
      <w:r w:rsidRPr="00115933">
        <w:rPr>
          <w:sz w:val="28"/>
          <w:szCs w:val="28"/>
        </w:rPr>
        <w:t>2. Индикативные показатели муниципа</w:t>
      </w:r>
      <w:r w:rsidR="00B71169">
        <w:rPr>
          <w:sz w:val="28"/>
          <w:szCs w:val="28"/>
        </w:rPr>
        <w:t>льного контроля.</w:t>
      </w:r>
    </w:p>
    <w:p w:rsidR="00533754" w:rsidRPr="00115933" w:rsidRDefault="00B71169" w:rsidP="00115933">
      <w:pPr>
        <w:ind w:firstLine="709"/>
        <w:jc w:val="both"/>
        <w:rPr>
          <w:sz w:val="28"/>
          <w:szCs w:val="28"/>
          <w:u w:val="single"/>
        </w:rPr>
      </w:pPr>
      <w:r w:rsidRPr="00B71169">
        <w:rPr>
          <w:sz w:val="28"/>
          <w:szCs w:val="28"/>
        </w:rPr>
        <w:t>П</w:t>
      </w:r>
      <w:r w:rsidR="00533754" w:rsidRPr="00B71169">
        <w:rPr>
          <w:sz w:val="28"/>
          <w:szCs w:val="28"/>
        </w:rPr>
        <w:t>ри осуществлении муниципального контроля устанавливаются следующие индикативные показатели:</w:t>
      </w:r>
    </w:p>
    <w:p w:rsidR="00533754" w:rsidRPr="00115933" w:rsidRDefault="00B71169" w:rsidP="00115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33754" w:rsidRPr="00115933">
        <w:rPr>
          <w:sz w:val="28"/>
          <w:szCs w:val="28"/>
        </w:rPr>
        <w:t>количество проведенных внеплановых контрольных мероприятий;</w:t>
      </w:r>
    </w:p>
    <w:p w:rsidR="00533754" w:rsidRPr="00115933" w:rsidRDefault="00B71169" w:rsidP="00115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3754" w:rsidRPr="00115933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533754" w:rsidRPr="00115933" w:rsidRDefault="00B71169" w:rsidP="00115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33754" w:rsidRPr="00115933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533754" w:rsidRPr="00115933" w:rsidRDefault="004400A4" w:rsidP="00115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1169">
        <w:rPr>
          <w:sz w:val="28"/>
          <w:szCs w:val="28"/>
        </w:rPr>
        <w:t xml:space="preserve">) </w:t>
      </w:r>
      <w:r w:rsidR="00533754" w:rsidRPr="00115933">
        <w:rPr>
          <w:sz w:val="28"/>
          <w:szCs w:val="28"/>
        </w:rPr>
        <w:t>количество устраненных нарушений обязательных требований.</w:t>
      </w:r>
    </w:p>
    <w:p w:rsidR="005264E8" w:rsidRDefault="005264E8" w:rsidP="00115933">
      <w:pPr>
        <w:rPr>
          <w:sz w:val="28"/>
          <w:szCs w:val="28"/>
        </w:rPr>
      </w:pPr>
    </w:p>
    <w:p w:rsidR="00115933" w:rsidRDefault="00115933" w:rsidP="00115933">
      <w:pPr>
        <w:rPr>
          <w:sz w:val="28"/>
          <w:szCs w:val="28"/>
        </w:rPr>
      </w:pPr>
    </w:p>
    <w:p w:rsidR="008432ED" w:rsidRPr="00115933" w:rsidRDefault="008432ED" w:rsidP="00115933">
      <w:pPr>
        <w:rPr>
          <w:sz w:val="28"/>
          <w:szCs w:val="28"/>
        </w:rPr>
      </w:pPr>
      <w:bookmarkStart w:id="1" w:name="_GoBack"/>
      <w:bookmarkEnd w:id="1"/>
    </w:p>
    <w:p w:rsidR="00115933" w:rsidRPr="00115933" w:rsidRDefault="00533754" w:rsidP="00115933">
      <w:pPr>
        <w:ind w:left="5387"/>
        <w:jc w:val="both"/>
        <w:rPr>
          <w:sz w:val="28"/>
          <w:szCs w:val="28"/>
        </w:rPr>
      </w:pPr>
      <w:r w:rsidRPr="00115933">
        <w:rPr>
          <w:sz w:val="28"/>
          <w:szCs w:val="28"/>
        </w:rPr>
        <w:t>Департамент городского хозяйства администрации Волгограда</w:t>
      </w:r>
    </w:p>
    <w:sectPr w:rsidR="00115933" w:rsidRPr="00115933" w:rsidSect="00115933">
      <w:headerReference w:type="even" r:id="rId7"/>
      <w:footerReference w:type="default" r:id="rId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20" w:rsidRDefault="00046020" w:rsidP="00533754">
      <w:r>
        <w:separator/>
      </w:r>
    </w:p>
  </w:endnote>
  <w:endnote w:type="continuationSeparator" w:id="0">
    <w:p w:rsidR="00046020" w:rsidRDefault="00046020" w:rsidP="0053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1" w:rsidRDefault="00046020" w:rsidP="00E966F1">
    <w:pPr>
      <w:tabs>
        <w:tab w:val="center" w:pos="4677"/>
        <w:tab w:val="right" w:pos="9355"/>
      </w:tabs>
      <w:spacing w:before="240"/>
      <w:rPr>
        <w:sz w:val="16"/>
        <w:szCs w:val="16"/>
      </w:rPr>
    </w:pPr>
    <w:r>
      <w:rPr>
        <w:sz w:val="16"/>
        <w:szCs w:val="16"/>
      </w:rPr>
      <w:t xml:space="preserve">Руководитель департамента   городского хозяйства администрации Волгограда                                                                         </w:t>
    </w:r>
    <w:proofErr w:type="spellStart"/>
    <w:r>
      <w:rPr>
        <w:sz w:val="16"/>
        <w:szCs w:val="16"/>
      </w:rPr>
      <w:t>В.Ю.Земцов</w:t>
    </w:r>
    <w:proofErr w:type="spellEnd"/>
  </w:p>
  <w:p w:rsidR="00C254F9" w:rsidRDefault="00046020" w:rsidP="00C254F9">
    <w:pPr>
      <w:tabs>
        <w:tab w:val="center" w:pos="4677"/>
        <w:tab w:val="right" w:pos="9355"/>
      </w:tabs>
      <w:spacing w:before="240"/>
      <w:rPr>
        <w:sz w:val="16"/>
        <w:szCs w:val="16"/>
      </w:rPr>
    </w:pPr>
    <w:r>
      <w:rPr>
        <w:sz w:val="16"/>
        <w:szCs w:val="16"/>
      </w:rPr>
      <w:t>Начальник отдела контроля, делопроизводства, правового и кадрового обеспечения</w:t>
    </w:r>
  </w:p>
  <w:p w:rsidR="00C254F9" w:rsidRPr="001B420A" w:rsidRDefault="00046020" w:rsidP="00C254F9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 xml:space="preserve">департамента  городского </w:t>
    </w:r>
    <w:r w:rsidRPr="001B420A">
      <w:rPr>
        <w:sz w:val="24"/>
        <w:szCs w:val="24"/>
      </w:rPr>
      <w:t xml:space="preserve"> </w:t>
    </w:r>
    <w:r w:rsidRPr="001B420A">
      <w:rPr>
        <w:sz w:val="16"/>
        <w:szCs w:val="16"/>
      </w:rPr>
      <w:t xml:space="preserve">администрации Волгограда                                                                              </w:t>
    </w:r>
    <w:r>
      <w:rPr>
        <w:sz w:val="16"/>
        <w:szCs w:val="16"/>
      </w:rPr>
      <w:t xml:space="preserve">                                      </w:t>
    </w:r>
    <w:proofErr w:type="spellStart"/>
    <w:r>
      <w:rPr>
        <w:sz w:val="16"/>
        <w:szCs w:val="16"/>
      </w:rPr>
      <w:t>Р.Ш.Юдаев</w:t>
    </w:r>
    <w:proofErr w:type="spellEnd"/>
  </w:p>
  <w:p w:rsidR="00C254F9" w:rsidRPr="001B420A" w:rsidRDefault="008432ED" w:rsidP="00C254F9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AE2031" w:rsidRPr="00E966F1" w:rsidRDefault="008432ED" w:rsidP="00E966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20" w:rsidRDefault="00046020" w:rsidP="00533754">
      <w:r>
        <w:separator/>
      </w:r>
    </w:p>
  </w:footnote>
  <w:footnote w:type="continuationSeparator" w:id="0">
    <w:p w:rsidR="00046020" w:rsidRDefault="00046020" w:rsidP="0053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31" w:rsidRDefault="000460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031" w:rsidRDefault="00843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D2"/>
    <w:rsid w:val="00046020"/>
    <w:rsid w:val="000B403E"/>
    <w:rsid w:val="000C08DB"/>
    <w:rsid w:val="00115933"/>
    <w:rsid w:val="004400A4"/>
    <w:rsid w:val="005264E8"/>
    <w:rsid w:val="00533754"/>
    <w:rsid w:val="005D6842"/>
    <w:rsid w:val="00730FD2"/>
    <w:rsid w:val="007E1F11"/>
    <w:rsid w:val="008432ED"/>
    <w:rsid w:val="008C4130"/>
    <w:rsid w:val="00B23F53"/>
    <w:rsid w:val="00B71169"/>
    <w:rsid w:val="00C76D4A"/>
    <w:rsid w:val="00C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7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533754"/>
    <w:rPr>
      <w:rFonts w:cs="Times New Roman"/>
    </w:rPr>
  </w:style>
  <w:style w:type="paragraph" w:styleId="a6">
    <w:name w:val="footer"/>
    <w:basedOn w:val="a"/>
    <w:link w:val="a7"/>
    <w:uiPriority w:val="99"/>
    <w:rsid w:val="00533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3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33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337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rsid w:val="00CA662F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CA6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7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7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533754"/>
    <w:rPr>
      <w:rFonts w:cs="Times New Roman"/>
    </w:rPr>
  </w:style>
  <w:style w:type="paragraph" w:styleId="a6">
    <w:name w:val="footer"/>
    <w:basedOn w:val="a"/>
    <w:link w:val="a7"/>
    <w:uiPriority w:val="99"/>
    <w:rsid w:val="00533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3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33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337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rsid w:val="00CA662F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CA6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7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9787DD42-A7DE-4A35-B341-18BF65D0F813}"/>
</file>

<file path=customXml/itemProps2.xml><?xml version="1.0" encoding="utf-8"?>
<ds:datastoreItem xmlns:ds="http://schemas.openxmlformats.org/officeDocument/2006/customXml" ds:itemID="{FFADC3C7-D4B0-4687-B67F-F80731DC7D28}"/>
</file>

<file path=customXml/itemProps3.xml><?xml version="1.0" encoding="utf-8"?>
<ds:datastoreItem xmlns:ds="http://schemas.openxmlformats.org/officeDocument/2006/customXml" ds:itemID="{493CFAC6-0905-4854-85B4-DE0BAAE60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1517</Characters>
  <Application>Microsoft Office Word</Application>
  <DocSecurity>0</DocSecurity>
  <Lines>12</Lines>
  <Paragraphs>3</Paragraphs>
  <ScaleCrop>false</ScaleCrop>
  <Company>Волгоградская городская Дума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17</cp:revision>
  <dcterms:created xsi:type="dcterms:W3CDTF">2021-09-23T12:17:00Z</dcterms:created>
  <dcterms:modified xsi:type="dcterms:W3CDTF">2021-09-29T20:32:00Z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