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bookmarkStart w:id="0" w:name="_GoBack"/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30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марта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  <w:bookmarkEnd w:id="0"/>
    </w:p>
    <w:p w:rsidR="008A3752" w:rsidRPr="008A3752" w:rsidRDefault="00810B6B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30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марта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036ECF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810B6B">
        <w:rPr>
          <w:rFonts w:ascii="SegoeUI" w:hAnsi="SegoeUI" w:cs="Arial"/>
        </w:rPr>
        <w:t>е</w:t>
      </w:r>
      <w:r w:rsidR="00C7338F">
        <w:rPr>
          <w:rFonts w:ascii="SegoeUI" w:hAnsi="SegoeUI" w:cs="Arial"/>
        </w:rPr>
        <w:t xml:space="preserve"> депутат</w:t>
      </w:r>
      <w:r w:rsidR="00810B6B">
        <w:rPr>
          <w:rFonts w:ascii="SegoeUI" w:hAnsi="SegoeUI" w:cs="Arial"/>
        </w:rPr>
        <w:t>а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у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10B6B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64128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012</OrderBy>
    <FullName xmlns="41ea915e-28c8-48c0-b967-60a96ae1abcf">Заседание Комиссии от 30 марта 2022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20EDE1EF-0235-4C74-88C8-5B5A3D6B3680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30 марта 2022 г.</dc:title>
  <dc:creator>Веселова Татьяна Владимировна</dc:creator>
  <cp:lastModifiedBy>Выходцева Алла Викторовна</cp:lastModifiedBy>
  <cp:revision>2</cp:revision>
  <cp:lastPrinted>2019-02-14T07:49:00Z</cp:lastPrinted>
  <dcterms:created xsi:type="dcterms:W3CDTF">2022-03-30T11:59:00Z</dcterms:created>
  <dcterms:modified xsi:type="dcterms:W3CDTF">2022-03-30T11:59:00Z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